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Supporting information</w:t>
      </w:r>
    </w:p>
    <w:p w:rsidR="008F3AEF" w:rsidRPr="00300D3A" w:rsidRDefault="008F3AEF" w:rsidP="002E266D">
      <w:pPr>
        <w:spacing w:before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8986034" wp14:editId="68AF8E05">
            <wp:extent cx="5943600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6D" w:rsidRPr="00300D3A" w:rsidRDefault="002E266D" w:rsidP="002E266D">
      <w:pPr>
        <w:spacing w:before="12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 S1 </w:t>
      </w:r>
      <w:bookmarkStart w:id="0" w:name="OLE_LINK142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AMF-induced increases in constitutive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jasmonates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roots of 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  <w:lang w:val="it-IT"/>
        </w:rPr>
        <w:t>N. attenuata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not translate into systemic increases in JA-dependent secondary metabolites in leaves </w:t>
      </w:r>
    </w:p>
    <w:p w:rsidR="0078149E" w:rsidRPr="00300D3A" w:rsidRDefault="002E266D" w:rsidP="002E266D">
      <w:pPr>
        <w:widowControl w:val="0"/>
        <w:spacing w:before="120" w:line="360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Representative phenolic metabolites in 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  <w:lang w:val="it-IT"/>
        </w:rPr>
        <w:t>N. attenuata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were induced in roots but not in leaves after inoculation with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  <w:lang w:val="es-ES_tradnl"/>
        </w:rPr>
        <w:t xml:space="preserve"> R. irregularis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</w:rPr>
        <w:t>.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(a) Simplified biosynthetic pathway for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caffeoylputrescine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and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chlorogenic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acid; the levels of intermediates in this pathway were quantified in both root and leaf tissues after AMF inoculation. (b) Samples were harvested from EV plants </w:t>
      </w:r>
      <w:r w:rsidR="003F4083"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inoculated 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with 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  <w:lang w:val="es-ES_tradnl"/>
        </w:rPr>
        <w:t>R. irregularis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(6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wpi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). AMF inoculated groups were labeled as “AM”, and non-inoculated groups as “NM”. Data are means (± SD), statistical significance was evaluated with Student’s t tests (*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</w:rPr>
        <w:t>p≤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0.05, **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</w:rPr>
        <w:t>p≤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0.01, ***</w:t>
      </w:r>
      <w:r w:rsidRPr="00300D3A">
        <w:rPr>
          <w:rFonts w:ascii="Times New Roman" w:hAnsi="Times New Roman" w:cs="Times New Roman"/>
          <w:i/>
          <w:iCs/>
          <w:color w:val="000000" w:themeColor="text1"/>
          <w:kern w:val="2"/>
          <w:sz w:val="24"/>
          <w:szCs w:val="24"/>
        </w:rPr>
        <w:t>p≤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0.001).</w:t>
      </w:r>
      <w:bookmarkEnd w:id="0"/>
    </w:p>
    <w:p w:rsidR="0078149E" w:rsidRPr="00300D3A" w:rsidRDefault="007814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br w:type="page"/>
      </w:r>
    </w:p>
    <w:p w:rsidR="002E266D" w:rsidRPr="00300D3A" w:rsidRDefault="008349F6" w:rsidP="002E266D">
      <w:pPr>
        <w:widowControl w:val="0"/>
        <w:spacing w:before="120" w:line="360" w:lineRule="auto"/>
        <w:rPr>
          <w:rFonts w:ascii="Times New Roman" w:eastAsia="Times New Roman" w:hAnsi="Times New Roman" w:cs="Times New Roman"/>
          <w:color w:val="000000" w:themeColor="text1"/>
          <w:kern w:val="2"/>
          <w:sz w:val="24"/>
          <w:szCs w:val="24"/>
        </w:rPr>
      </w:pPr>
      <w:r w:rsidRPr="00300D3A">
        <w:rPr>
          <w:rFonts w:ascii="Times New Roman" w:eastAsia="Times New Roman" w:hAnsi="Times New Roman" w:cs="Times New Roman"/>
          <w:noProof/>
          <w:color w:val="000000" w:themeColor="text1"/>
          <w:kern w:val="2"/>
          <w:sz w:val="24"/>
          <w:szCs w:val="24"/>
        </w:rPr>
        <w:lastRenderedPageBreak/>
        <w:drawing>
          <wp:inline distT="0" distB="0" distL="0" distR="0" wp14:anchorId="737034D4" wp14:editId="32A7A0D4">
            <wp:extent cx="5059828" cy="7416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596" cy="74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6D" w:rsidRPr="00300D3A" w:rsidRDefault="002E266D" w:rsidP="002E266D">
      <w:pPr>
        <w:widowControl w:val="0"/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 xml:space="preserve">Fig. S2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design,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mesocosms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grouping and experimental procedures.</w:t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(a)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designed to test 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hypothesis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CMN-mediated OS-elicited JA signaling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4 boxes </w:t>
      </w:r>
      <w:r w:rsidRPr="00300D3A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 xml:space="preserve">[length: width: height=9.5: 9.5: 24 (cm)]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constitute a single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each box is separated by metal mesh (pore diameter=30 µm), which excludes plant roots but allows mycelia to penetrate. The spaces separating the 4 boxes of each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(4.5 cm) were planted with </w:t>
      </w:r>
      <w:r w:rsidRPr="00300D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N. attenuata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WT nurse plants inoculated with autoclaved or live </w:t>
      </w:r>
      <w:r w:rsidRPr="00300D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R. </w:t>
      </w:r>
      <w:proofErr w:type="spellStart"/>
      <w:r w:rsidRPr="00300D3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irregularis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inoculum. (b) The nurse plants were grown for 4 weeks to activate AMF spores and establish an AMF network that extended into all 4 boxes of the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these nurse plants were removed just prior to the planting of the experimental plants into their individual boxes for an additional 5 weeks of growth, before plants were W+OS elicited which started the sampling sequence (detailed in Fig. 4a). The four individual plants that comprised each experimental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named as: “donor”, “receivers” 1 to 3. (c)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Mesocosms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assigned to 4 different treatments that combined AMF addition (in red) and W+OS treatment with “donors” (in blue) with the following terms defined: </w:t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If autoclaved AMF inoculum was used: “N”; active inocul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: “Y”; the AMF mycelial network connections among plants were removed by emptying the soil (just prior to first W+OS elicitation) from the spaces separating the boxes that were originally occupied by the nurse plants: (Y/R).</w:t>
      </w:r>
    </w:p>
    <w:p w:rsidR="0078149E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If “donor” plants were treated with W+OS: (Y), if not (N).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on 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combinations of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treatments, Con1, Con2, Con3 and T groups are </w:t>
      </w:r>
      <w:r w:rsidR="008059C8"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defined. </w:t>
      </w:r>
    </w:p>
    <w:p w:rsidR="0078149E" w:rsidRPr="00300D3A" w:rsidRDefault="007814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48D5D9A" wp14:editId="0E4CAC26">
            <wp:extent cx="2599949" cy="341986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49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 xml:space="preserve">Fig. S3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Evidence of AMF-mediated defense priming: bursts of inactive </w:t>
      </w:r>
      <w:proofErr w:type="spell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jasmonate</w:t>
      </w:r>
      <w:proofErr w:type="spell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forms are not amplified in the “receiver” plants of the AMF mycelia group (T) after the W+OS elicitation of the “donor” plants. Details are as described in Fig. 4. </w:t>
      </w:r>
    </w:p>
    <w:p w:rsidR="00ED7EC1" w:rsidRPr="00300D3A" w:rsidRDefault="00ED7E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E266D" w:rsidRPr="00300D3A" w:rsidRDefault="002E266D" w:rsidP="002E266D">
      <w:pPr>
        <w:spacing w:before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4928151" wp14:editId="0377AF69">
            <wp:extent cx="5943600" cy="427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6D" w:rsidRPr="00300D3A" w:rsidRDefault="002E266D" w:rsidP="002E266D">
      <w:pPr>
        <w:widowControl w:val="0"/>
        <w:spacing w:before="120" w:line="360" w:lineRule="auto"/>
        <w:rPr>
          <w:rFonts w:ascii="Times New Roman" w:eastAsia="Times New Roman" w:hAnsi="Times New Roman" w:cs="Times New Roman"/>
          <w:color w:val="000000" w:themeColor="text1"/>
          <w:kern w:val="2"/>
          <w:sz w:val="24"/>
          <w:szCs w:val="24"/>
        </w:rPr>
      </w:pPr>
      <w:bookmarkStart w:id="1" w:name="OLE_LINK177"/>
      <w:r w:rsidRPr="00300D3A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t>Fig. S4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Hydroxygeranyllinalool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diterpene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glycosides (HGL-DTGs) exhibit compound-specific increases in response to W+OS elicitation among the 4 </w:t>
      </w:r>
      <w:proofErr w:type="spellStart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mesocosm</w:t>
      </w:r>
      <w:proofErr w:type="spellEnd"/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treatment groups.</w:t>
      </w:r>
    </w:p>
    <w:p w:rsidR="002E266D" w:rsidRPr="00300D3A" w:rsidRDefault="002E266D" w:rsidP="002E266D">
      <w:pPr>
        <w:widowControl w:val="0"/>
        <w:spacing w:before="120" w:line="360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The biological replicates used and the quantification method for HGL-DTG analysis are as described in Fig. 7. Data are means (</w:t>
      </w:r>
      <w:r w:rsidR="00572E99"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±</w:t>
      </w: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SE; Con1, n=6; Con2, n=7; Con3, n=7; T, n=7). For the statistical analysis see Table. S1.</w:t>
      </w:r>
      <w:bookmarkEnd w:id="1"/>
    </w:p>
    <w:p w:rsidR="002E266D" w:rsidRPr="00300D3A" w:rsidRDefault="0078149E" w:rsidP="007814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br w:type="page"/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Table. S1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2" w:name="OLE_LINK184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Numerical values of each HGL-DTG relative concentration and statistical analysis. </w:t>
      </w:r>
      <w:bookmarkEnd w:id="2"/>
    </w:p>
    <w:p w:rsidR="002E266D" w:rsidRPr="00300D3A" w:rsidRDefault="002E266D" w:rsidP="002E266D">
      <w:pPr>
        <w:spacing w:before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BC70B2A" wp14:editId="5E0420B9">
            <wp:extent cx="4731488" cy="569092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72" cy="56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6D" w:rsidRPr="00300D3A" w:rsidRDefault="002E266D" w:rsidP="002E266D">
      <w:pPr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Data presented in Fig. 7 and Fig. S3, sampling and analysis is described in Fig. 4, and background colors are the same as in Fig. 7 and Fig. S3. Different letters indicate significant differences (</w:t>
      </w:r>
      <w:r w:rsidRPr="00300D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&lt;0.05, one-way ANOVA followed by Fisher’s LSD)</w:t>
      </w:r>
    </w:p>
    <w:p w:rsidR="0078149E" w:rsidRPr="00300D3A" w:rsidRDefault="007814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E266D" w:rsidRPr="00300D3A" w:rsidRDefault="002E266D" w:rsidP="002E266D">
      <w:pPr>
        <w:widowControl w:val="0"/>
        <w:spacing w:before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D3A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lastRenderedPageBreak/>
        <w:t xml:space="preserve">Table. S2 </w:t>
      </w:r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Primer sequences for Quantitative (q</w:t>
      </w:r>
      <w:proofErr w:type="gramStart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)PCR</w:t>
      </w:r>
      <w:proofErr w:type="gramEnd"/>
      <w:r w:rsidRPr="00300D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00D3A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</w:rPr>
        <w:t xml:space="preserve"> </w:t>
      </w:r>
    </w:p>
    <w:tbl>
      <w:tblPr>
        <w:tblW w:w="9359" w:type="dxa"/>
        <w:tblInd w:w="324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28"/>
        <w:gridCol w:w="1104"/>
        <w:gridCol w:w="3317"/>
        <w:gridCol w:w="3010"/>
      </w:tblGrid>
      <w:tr w:rsidR="00300D3A" w:rsidRPr="00300D3A" w:rsidTr="00793659">
        <w:trPr>
          <w:trHeight w:val="320"/>
        </w:trPr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GeneBank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Name</w:t>
            </w:r>
          </w:p>
        </w:tc>
        <w:tc>
          <w:tcPr>
            <w:tcW w:w="3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Forward</w:t>
            </w:r>
          </w:p>
        </w:tc>
        <w:tc>
          <w:tcPr>
            <w:tcW w:w="3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Reverse</w:t>
            </w:r>
          </w:p>
        </w:tc>
      </w:tr>
      <w:tr w:rsidR="00300D3A" w:rsidRPr="00300D3A" w:rsidTr="00793659">
        <w:trPr>
          <w:trHeight w:val="320"/>
        </w:trPr>
        <w:tc>
          <w:tcPr>
            <w:tcW w:w="1927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EXX64097.1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300D3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Ri</w:t>
            </w:r>
            <w:proofErr w:type="spellEnd"/>
            <w:r w:rsidRPr="00300D3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-tub </w:t>
            </w:r>
          </w:p>
        </w:tc>
        <w:tc>
          <w:tcPr>
            <w:tcW w:w="3317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TGTCCAACCGGTTTTAAAGT</w:t>
            </w:r>
          </w:p>
        </w:tc>
        <w:tc>
          <w:tcPr>
            <w:tcW w:w="3010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AAAGCACGTTTGGCGTACAT</w:t>
            </w:r>
          </w:p>
        </w:tc>
        <w:bookmarkStart w:id="3" w:name="_GoBack"/>
        <w:bookmarkEnd w:id="3"/>
      </w:tr>
      <w:tr w:rsidR="00300D3A" w:rsidRPr="00300D3A" w:rsidTr="00793659">
        <w:trPr>
          <w:trHeight w:val="320"/>
        </w:trPr>
        <w:tc>
          <w:tcPr>
            <w:tcW w:w="19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XP_019258720.1</w:t>
            </w:r>
          </w:p>
        </w:tc>
        <w:tc>
          <w:tcPr>
            <w:tcW w:w="110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NaSTR1</w:t>
            </w:r>
          </w:p>
        </w:tc>
        <w:tc>
          <w:tcPr>
            <w:tcW w:w="33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TCAGGCTTCCACCTTCAATATCT</w:t>
            </w:r>
          </w:p>
        </w:tc>
        <w:tc>
          <w:tcPr>
            <w:tcW w:w="30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GACTCTCCGACGTTCTCCC</w:t>
            </w:r>
          </w:p>
        </w:tc>
      </w:tr>
      <w:tr w:rsidR="00300D3A" w:rsidRPr="00300D3A" w:rsidTr="00793659">
        <w:trPr>
          <w:trHeight w:val="320"/>
        </w:trPr>
        <w:tc>
          <w:tcPr>
            <w:tcW w:w="192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XP_019267066.1</w:t>
            </w:r>
          </w:p>
        </w:tc>
        <w:tc>
          <w:tcPr>
            <w:tcW w:w="110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NaPT4 </w:t>
            </w:r>
          </w:p>
        </w:tc>
        <w:tc>
          <w:tcPr>
            <w:tcW w:w="33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GGGGCTCGTTTCAATGATTA</w:t>
            </w:r>
          </w:p>
        </w:tc>
        <w:tc>
          <w:tcPr>
            <w:tcW w:w="30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AACACGATCCGCCAAACAT</w:t>
            </w:r>
          </w:p>
        </w:tc>
      </w:tr>
      <w:tr w:rsidR="00300D3A" w:rsidRPr="00300D3A" w:rsidTr="00793659">
        <w:trPr>
          <w:trHeight w:val="320"/>
        </w:trPr>
        <w:tc>
          <w:tcPr>
            <w:tcW w:w="1927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XP_019246749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NaIF-5a 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GTCGGACGAAGAACACCATT</w:t>
            </w:r>
          </w:p>
        </w:tc>
        <w:tc>
          <w:tcPr>
            <w:tcW w:w="3010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E266D" w:rsidRPr="00300D3A" w:rsidRDefault="002E266D" w:rsidP="009E469C">
            <w:pPr>
              <w:rPr>
                <w:color w:val="000000" w:themeColor="text1"/>
                <w:sz w:val="18"/>
                <w:szCs w:val="18"/>
              </w:rPr>
            </w:pPr>
            <w:r w:rsidRPr="00300D3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CACATCACAGTTGTGGGAGG</w:t>
            </w:r>
          </w:p>
        </w:tc>
      </w:tr>
    </w:tbl>
    <w:p w:rsidR="00310DD4" w:rsidRPr="00300D3A" w:rsidRDefault="00310DD4">
      <w:pPr>
        <w:rPr>
          <w:color w:val="000000" w:themeColor="text1"/>
          <w:sz w:val="24"/>
          <w:szCs w:val="24"/>
        </w:rPr>
      </w:pPr>
    </w:p>
    <w:sectPr w:rsidR="00310DD4" w:rsidRPr="00300D3A" w:rsidSect="005C726D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A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6D"/>
    <w:rsid w:val="00162421"/>
    <w:rsid w:val="002E266D"/>
    <w:rsid w:val="00300D3A"/>
    <w:rsid w:val="00310DD4"/>
    <w:rsid w:val="003E0F65"/>
    <w:rsid w:val="003F4083"/>
    <w:rsid w:val="00450C4D"/>
    <w:rsid w:val="00572E99"/>
    <w:rsid w:val="005C726D"/>
    <w:rsid w:val="0078149E"/>
    <w:rsid w:val="00793659"/>
    <w:rsid w:val="008059C8"/>
    <w:rsid w:val="008349F6"/>
    <w:rsid w:val="008F3AEF"/>
    <w:rsid w:val="009B110B"/>
    <w:rsid w:val="00A8335A"/>
    <w:rsid w:val="00C87A74"/>
    <w:rsid w:val="00ED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4279DE-B9BE-4D49-BCED-30D3DE741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E2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hAnsi="Helvetica" w:cs="Arial Unicode MS"/>
      <w:color w:val="000000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无 A"/>
    <w:rsid w:val="002E266D"/>
  </w:style>
  <w:style w:type="paragraph" w:styleId="a4">
    <w:name w:val="Balloon Text"/>
    <w:basedOn w:val="a"/>
    <w:link w:val="Char"/>
    <w:uiPriority w:val="99"/>
    <w:semiHidden/>
    <w:unhideWhenUsed/>
    <w:rsid w:val="002E266D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2E266D"/>
    <w:rPr>
      <w:rFonts w:ascii="Tahoma" w:hAnsi="Tahoma" w:cs="Tahoma"/>
      <w:color w:val="000000"/>
      <w:sz w:val="16"/>
      <w:szCs w:val="16"/>
      <w:u w:color="000000"/>
      <w:bdr w:val="nil"/>
    </w:rPr>
  </w:style>
  <w:style w:type="character" w:styleId="a5">
    <w:name w:val="line number"/>
    <w:basedOn w:val="a0"/>
    <w:uiPriority w:val="99"/>
    <w:semiHidden/>
    <w:unhideWhenUsed/>
    <w:rsid w:val="005C726D"/>
  </w:style>
  <w:style w:type="character" w:styleId="a6">
    <w:name w:val="annotation reference"/>
    <w:basedOn w:val="a0"/>
    <w:uiPriority w:val="99"/>
    <w:semiHidden/>
    <w:unhideWhenUsed/>
    <w:rsid w:val="003F4083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3F4083"/>
    <w:rPr>
      <w:sz w:val="20"/>
      <w:szCs w:val="20"/>
    </w:rPr>
  </w:style>
  <w:style w:type="character" w:customStyle="1" w:styleId="Char0">
    <w:name w:val="批注文字 Char"/>
    <w:basedOn w:val="a0"/>
    <w:link w:val="a7"/>
    <w:uiPriority w:val="99"/>
    <w:semiHidden/>
    <w:rsid w:val="003F4083"/>
    <w:rPr>
      <w:rFonts w:ascii="Helvetica" w:hAnsi="Helvetica" w:cs="Arial Unicode MS"/>
      <w:color w:val="000000"/>
      <w:sz w:val="20"/>
      <w:szCs w:val="20"/>
      <w:u w:color="000000"/>
      <w:bdr w:val="nil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3F4083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3F4083"/>
    <w:rPr>
      <w:rFonts w:ascii="Helvetica" w:hAnsi="Helvetica" w:cs="Arial Unicode MS"/>
      <w:b/>
      <w:bCs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 for chemical ecology</Company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Wang</dc:creator>
  <cp:lastModifiedBy>admin</cp:lastModifiedBy>
  <cp:revision>5</cp:revision>
  <dcterms:created xsi:type="dcterms:W3CDTF">2019-07-16T12:25:00Z</dcterms:created>
  <dcterms:modified xsi:type="dcterms:W3CDTF">2019-07-19T09:20:00Z</dcterms:modified>
</cp:coreProperties>
</file>