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155" w:rsidRPr="006C3369" w:rsidRDefault="00D27155" w:rsidP="00D27155">
      <w:pPr>
        <w:pStyle w:val="PlainText"/>
        <w:spacing w:line="360" w:lineRule="auto"/>
        <w:rPr>
          <w:rFonts w:ascii="Times New Roman" w:hAnsi="Times New Roman" w:cs="Times New Roman"/>
          <w:lang w:val="nl-NL"/>
        </w:rPr>
      </w:pPr>
      <w:bookmarkStart w:id="0" w:name="_GoBack"/>
      <w:bookmarkEnd w:id="0"/>
      <w:r w:rsidRPr="006C3369">
        <w:rPr>
          <w:rFonts w:ascii="Times New Roman" w:hAnsi="Times New Roman" w:cs="Times New Roman"/>
          <w:lang w:val="nl-NL"/>
        </w:rPr>
        <w:t>Kristijan Armeni</w:t>
      </w:r>
    </w:p>
    <w:p w:rsidR="00D27155" w:rsidRPr="006C3369" w:rsidRDefault="00D27155" w:rsidP="00D27155">
      <w:pPr>
        <w:pStyle w:val="PlainText"/>
        <w:spacing w:line="360" w:lineRule="auto"/>
        <w:rPr>
          <w:rFonts w:ascii="Times New Roman" w:hAnsi="Times New Roman" w:cs="Times New Roman"/>
          <w:lang w:val="nl-NL"/>
        </w:rPr>
      </w:pPr>
      <w:r w:rsidRPr="006C3369">
        <w:rPr>
          <w:rFonts w:ascii="Times New Roman" w:hAnsi="Times New Roman" w:cs="Times New Roman"/>
          <w:lang w:val="nl-NL"/>
        </w:rPr>
        <w:t>Roel M. Willems</w:t>
      </w:r>
    </w:p>
    <w:p w:rsidR="00D27155" w:rsidRPr="006C3369" w:rsidRDefault="00D27155" w:rsidP="00D27155">
      <w:pPr>
        <w:pStyle w:val="PlainText"/>
        <w:spacing w:line="360" w:lineRule="auto"/>
        <w:rPr>
          <w:rFonts w:ascii="Times New Roman" w:hAnsi="Times New Roman" w:cs="Times New Roman"/>
          <w:lang w:val="nl-NL"/>
        </w:rPr>
      </w:pPr>
      <w:r w:rsidRPr="006C3369">
        <w:rPr>
          <w:rFonts w:ascii="Times New Roman" w:hAnsi="Times New Roman" w:cs="Times New Roman"/>
          <w:lang w:val="nl-NL"/>
        </w:rPr>
        <w:t>Antal van den Bosch</w:t>
      </w:r>
    </w:p>
    <w:p w:rsidR="00D27155" w:rsidRPr="006C3369" w:rsidRDefault="00D27155" w:rsidP="00D27155">
      <w:pPr>
        <w:pStyle w:val="PlainText"/>
        <w:spacing w:line="360" w:lineRule="auto"/>
        <w:rPr>
          <w:rFonts w:ascii="Times New Roman" w:hAnsi="Times New Roman" w:cs="Times New Roman"/>
        </w:rPr>
      </w:pPr>
      <w:r w:rsidRPr="006C3369">
        <w:rPr>
          <w:rFonts w:ascii="Times New Roman" w:hAnsi="Times New Roman" w:cs="Times New Roman"/>
        </w:rPr>
        <w:t>Jan-</w:t>
      </w:r>
      <w:proofErr w:type="spellStart"/>
      <w:r w:rsidRPr="006C3369">
        <w:rPr>
          <w:rFonts w:ascii="Times New Roman" w:hAnsi="Times New Roman" w:cs="Times New Roman"/>
        </w:rPr>
        <w:t>Mathijs</w:t>
      </w:r>
      <w:proofErr w:type="spellEnd"/>
      <w:r w:rsidRPr="006C3369">
        <w:rPr>
          <w:rFonts w:ascii="Times New Roman" w:hAnsi="Times New Roman" w:cs="Times New Roman"/>
        </w:rPr>
        <w:t xml:space="preserve"> </w:t>
      </w:r>
      <w:proofErr w:type="spellStart"/>
      <w:r w:rsidRPr="006C3369">
        <w:rPr>
          <w:rFonts w:ascii="Times New Roman" w:hAnsi="Times New Roman" w:cs="Times New Roman"/>
        </w:rPr>
        <w:t>Schoffelen</w:t>
      </w:r>
      <w:proofErr w:type="spellEnd"/>
    </w:p>
    <w:p w:rsidR="00D27155" w:rsidRPr="006C3369" w:rsidRDefault="00D27155" w:rsidP="00D27155">
      <w:pPr>
        <w:pStyle w:val="PlainText"/>
        <w:spacing w:line="360" w:lineRule="auto"/>
        <w:rPr>
          <w:rFonts w:ascii="Times New Roman" w:hAnsi="Times New Roman" w:cs="Times New Roman"/>
        </w:rPr>
      </w:pPr>
    </w:p>
    <w:p w:rsidR="00D27155" w:rsidRDefault="00D27155" w:rsidP="00D27155">
      <w:pPr>
        <w:pStyle w:val="PlainText"/>
        <w:spacing w:line="360" w:lineRule="auto"/>
        <w:rPr>
          <w:rFonts w:ascii="Times New Roman" w:hAnsi="Times New Roman" w:cs="Times New Roman"/>
        </w:rPr>
      </w:pPr>
      <w:r w:rsidRPr="006C3369">
        <w:rPr>
          <w:rFonts w:ascii="Times New Roman" w:hAnsi="Times New Roman" w:cs="Times New Roman"/>
        </w:rPr>
        <w:t>Frequency-specific MEG dynamics related to prediction in naturalistic language comprehension</w:t>
      </w:r>
      <w:r>
        <w:rPr>
          <w:rFonts w:ascii="Times New Roman" w:hAnsi="Times New Roman" w:cs="Times New Roman"/>
        </w:rPr>
        <w:t>: SUPPLEMENTARY INFORMATION</w:t>
      </w:r>
    </w:p>
    <w:p w:rsidR="006070E5" w:rsidRDefault="006070E5" w:rsidP="00D27155">
      <w:pPr>
        <w:pStyle w:val="PlainText"/>
        <w:spacing w:line="360" w:lineRule="auto"/>
        <w:rPr>
          <w:rFonts w:ascii="Times New Roman" w:hAnsi="Times New Roman" w:cs="Times New Roman"/>
        </w:rPr>
      </w:pPr>
    </w:p>
    <w:p w:rsidR="006070E5" w:rsidRPr="006070E5" w:rsidRDefault="009E20E0" w:rsidP="00D27155">
      <w:pPr>
        <w:pStyle w:val="PlainText"/>
        <w:spacing w:line="360" w:lineRule="auto"/>
        <w:rPr>
          <w:rFonts w:ascii="Times New Roman" w:hAnsi="Times New Roman" w:cs="Times New Roman"/>
          <w:b/>
        </w:rPr>
      </w:pPr>
      <w:r>
        <w:rPr>
          <w:rFonts w:ascii="Times New Roman" w:hAnsi="Times New Roman" w:cs="Times New Roman"/>
          <w:b/>
        </w:rPr>
        <w:t>Epoch creation</w:t>
      </w:r>
      <w:r w:rsidR="006070E5" w:rsidRPr="006070E5">
        <w:rPr>
          <w:rFonts w:ascii="Times New Roman" w:hAnsi="Times New Roman" w:cs="Times New Roman"/>
          <w:b/>
        </w:rPr>
        <w:t xml:space="preserve"> respecting word onsets</w:t>
      </w:r>
    </w:p>
    <w:p w:rsidR="006070E5" w:rsidRDefault="006070E5" w:rsidP="00D27155">
      <w:pPr>
        <w:pStyle w:val="PlainText"/>
        <w:spacing w:line="360" w:lineRule="auto"/>
        <w:rPr>
          <w:rFonts w:ascii="Times New Roman" w:hAnsi="Times New Roman" w:cs="Times New Roman"/>
        </w:rPr>
      </w:pPr>
    </w:p>
    <w:p w:rsidR="00D27155" w:rsidRDefault="000F27E5" w:rsidP="00D27155">
      <w:pPr>
        <w:pStyle w:val="PlainText"/>
        <w:spacing w:line="360" w:lineRule="auto"/>
        <w:rPr>
          <w:rFonts w:ascii="Times New Roman" w:hAnsi="Times New Roman" w:cs="Times New Roman"/>
        </w:rPr>
      </w:pPr>
      <w:r>
        <w:rPr>
          <w:rFonts w:ascii="Times New Roman" w:hAnsi="Times New Roman" w:cs="Times New Roman"/>
        </w:rPr>
        <w:t>We repeated the analysis with a different way of epoch creation compared to the procedure described in section 2.5 of the manuscript. Instead of creating 0.5 second data snippets (with 0 % overlap), without considering the word boundaries, we created epochs which were explicitly locked to the onset of words. In this way, epoch onsets did not straddle word boundaries, but this strategy resulted in highly overlapping data snippets. To allow for a fair comparison to the original analysis results, we subsequently removed the epochs with a high amount of temporal overlap, allowing for a maximal 20% overlap between the epochs.</w:t>
      </w:r>
    </w:p>
    <w:p w:rsidR="00D27155" w:rsidRDefault="00D27155" w:rsidP="00D27155">
      <w:pPr>
        <w:pStyle w:val="PlainText"/>
        <w:spacing w:line="360" w:lineRule="auto"/>
        <w:rPr>
          <w:rFonts w:ascii="Times New Roman" w:hAnsi="Times New Roman" w:cs="Times New Roman"/>
        </w:rPr>
      </w:pPr>
    </w:p>
    <w:p w:rsidR="000F27E5" w:rsidRDefault="00D636E2" w:rsidP="000F27E5">
      <w:pPr>
        <w:spacing w:line="360" w:lineRule="auto"/>
        <w:rPr>
          <w:rFonts w:ascii="Times New Roman" w:hAnsi="Times New Roman" w:cs="Times New Roman"/>
        </w:rPr>
      </w:pPr>
      <w:r>
        <w:rPr>
          <w:rFonts w:ascii="Times New Roman" w:hAnsi="Times New Roman" w:cs="Times New Roman"/>
        </w:rPr>
        <w:t>We show t</w:t>
      </w:r>
      <w:r w:rsidR="000F27E5" w:rsidRPr="006C3369">
        <w:rPr>
          <w:rFonts w:ascii="Times New Roman" w:hAnsi="Times New Roman" w:cs="Times New Roman"/>
        </w:rPr>
        <w:t xml:space="preserve">he </w:t>
      </w:r>
      <w:r>
        <w:rPr>
          <w:rFonts w:ascii="Times New Roman" w:hAnsi="Times New Roman" w:cs="Times New Roman"/>
        </w:rPr>
        <w:t xml:space="preserve">outcome </w:t>
      </w:r>
      <w:r w:rsidR="000F27E5" w:rsidRPr="006C3369">
        <w:rPr>
          <w:rFonts w:ascii="Times New Roman" w:hAnsi="Times New Roman" w:cs="Times New Roman"/>
        </w:rPr>
        <w:t xml:space="preserve">of this </w:t>
      </w:r>
      <w:r w:rsidR="000F27E5">
        <w:rPr>
          <w:rFonts w:ascii="Times New Roman" w:hAnsi="Times New Roman" w:cs="Times New Roman"/>
        </w:rPr>
        <w:t xml:space="preserve">analysis </w:t>
      </w:r>
      <w:r w:rsidR="000F27E5" w:rsidRPr="006C3369">
        <w:rPr>
          <w:rFonts w:ascii="Times New Roman" w:hAnsi="Times New Roman" w:cs="Times New Roman"/>
        </w:rPr>
        <w:t>in the figure</w:t>
      </w:r>
      <w:r w:rsidR="000F27E5">
        <w:rPr>
          <w:rFonts w:ascii="Times New Roman" w:hAnsi="Times New Roman" w:cs="Times New Roman"/>
        </w:rPr>
        <w:t>s</w:t>
      </w:r>
      <w:r w:rsidR="000F27E5" w:rsidRPr="006C3369">
        <w:rPr>
          <w:rFonts w:ascii="Times New Roman" w:hAnsi="Times New Roman" w:cs="Times New Roman"/>
        </w:rPr>
        <w:t xml:space="preserve"> belo</w:t>
      </w:r>
      <w:r w:rsidR="000F27E5">
        <w:rPr>
          <w:rFonts w:ascii="Times New Roman" w:hAnsi="Times New Roman" w:cs="Times New Roman"/>
        </w:rPr>
        <w:t xml:space="preserve">w. This analysis largely </w:t>
      </w:r>
      <w:r w:rsidR="000F27E5" w:rsidRPr="006C3369">
        <w:rPr>
          <w:rFonts w:ascii="Times New Roman" w:hAnsi="Times New Roman" w:cs="Times New Roman"/>
        </w:rPr>
        <w:t>reproduce</w:t>
      </w:r>
      <w:r w:rsidR="000F27E5">
        <w:rPr>
          <w:rFonts w:ascii="Times New Roman" w:hAnsi="Times New Roman" w:cs="Times New Roman"/>
        </w:rPr>
        <w:t>s</w:t>
      </w:r>
      <w:r w:rsidR="000F27E5" w:rsidRPr="006C3369">
        <w:rPr>
          <w:rFonts w:ascii="Times New Roman" w:hAnsi="Times New Roman" w:cs="Times New Roman"/>
        </w:rPr>
        <w:t xml:space="preserve"> the pattern</w:t>
      </w:r>
      <w:r w:rsidR="000F27E5">
        <w:rPr>
          <w:rFonts w:ascii="Times New Roman" w:hAnsi="Times New Roman" w:cs="Times New Roman"/>
        </w:rPr>
        <w:t xml:space="preserve">s </w:t>
      </w:r>
      <w:r w:rsidR="000F27E5" w:rsidRPr="006C3369">
        <w:rPr>
          <w:rFonts w:ascii="Times New Roman" w:hAnsi="Times New Roman" w:cs="Times New Roman"/>
        </w:rPr>
        <w:t xml:space="preserve">obtained with the original pipeline. We notice that the </w:t>
      </w:r>
      <w:r w:rsidR="000F27E5">
        <w:rPr>
          <w:rFonts w:ascii="Times New Roman" w:hAnsi="Times New Roman" w:cs="Times New Roman"/>
        </w:rPr>
        <w:t xml:space="preserve">overall </w:t>
      </w:r>
      <w:proofErr w:type="spellStart"/>
      <w:r w:rsidR="000F27E5">
        <w:rPr>
          <w:rFonts w:ascii="Times New Roman" w:hAnsi="Times New Roman" w:cs="Times New Roman"/>
        </w:rPr>
        <w:t>spatio</w:t>
      </w:r>
      <w:proofErr w:type="spellEnd"/>
      <w:r w:rsidR="000F27E5">
        <w:rPr>
          <w:rFonts w:ascii="Times New Roman" w:hAnsi="Times New Roman" w:cs="Times New Roman"/>
        </w:rPr>
        <w:t xml:space="preserve">-temporal extent of clusters (i.e. observed data patterns after </w:t>
      </w:r>
      <w:proofErr w:type="spellStart"/>
      <w:r w:rsidR="000F27E5">
        <w:rPr>
          <w:rFonts w:ascii="Times New Roman" w:hAnsi="Times New Roman" w:cs="Times New Roman"/>
        </w:rPr>
        <w:t>thresholding</w:t>
      </w:r>
      <w:proofErr w:type="spellEnd"/>
      <w:r w:rsidR="000F27E5">
        <w:rPr>
          <w:rFonts w:ascii="Times New Roman" w:hAnsi="Times New Roman" w:cs="Times New Roman"/>
        </w:rPr>
        <w:t>) is less pronounced</w:t>
      </w:r>
      <w:r w:rsidR="000F27E5" w:rsidRPr="006C3369">
        <w:rPr>
          <w:rFonts w:ascii="Times New Roman" w:hAnsi="Times New Roman" w:cs="Times New Roman"/>
        </w:rPr>
        <w:t xml:space="preserve">. E.g. the </w:t>
      </w:r>
      <w:r w:rsidR="00411465">
        <w:rPr>
          <w:rFonts w:ascii="Times New Roman" w:hAnsi="Times New Roman" w:cs="Times New Roman"/>
        </w:rPr>
        <w:t xml:space="preserve">originally reported </w:t>
      </w:r>
      <w:proofErr w:type="spellStart"/>
      <w:r w:rsidR="000F27E5" w:rsidRPr="006C3369">
        <w:rPr>
          <w:rFonts w:ascii="Times New Roman" w:hAnsi="Times New Roman" w:cs="Times New Roman"/>
        </w:rPr>
        <w:t>medio</w:t>
      </w:r>
      <w:proofErr w:type="spellEnd"/>
      <w:r w:rsidR="000F27E5" w:rsidRPr="006C3369">
        <w:rPr>
          <w:rFonts w:ascii="Times New Roman" w:hAnsi="Times New Roman" w:cs="Times New Roman"/>
        </w:rPr>
        <w:t>-lateral positive theta cluster for entropy contrast</w:t>
      </w:r>
      <w:r w:rsidR="00411465">
        <w:rPr>
          <w:rFonts w:ascii="Times New Roman" w:hAnsi="Times New Roman" w:cs="Times New Roman"/>
        </w:rPr>
        <w:t xml:space="preserve"> (Figure 4, panel A, of the manuscript)</w:t>
      </w:r>
      <w:r w:rsidR="000F27E5" w:rsidRPr="006C3369">
        <w:rPr>
          <w:rFonts w:ascii="Times New Roman" w:hAnsi="Times New Roman" w:cs="Times New Roman"/>
        </w:rPr>
        <w:t xml:space="preserve"> is now clustered</w:t>
      </w:r>
      <w:r w:rsidR="00411465">
        <w:rPr>
          <w:rFonts w:ascii="Times New Roman" w:hAnsi="Times New Roman" w:cs="Times New Roman"/>
        </w:rPr>
        <w:t xml:space="preserve"> by the algorithm</w:t>
      </w:r>
      <w:r w:rsidR="000F27E5" w:rsidRPr="006C3369">
        <w:rPr>
          <w:rFonts w:ascii="Times New Roman" w:hAnsi="Times New Roman" w:cs="Times New Roman"/>
        </w:rPr>
        <w:t xml:space="preserve"> into two separate clusters, one medial </w:t>
      </w:r>
      <w:r w:rsidR="000F27E5">
        <w:rPr>
          <w:rFonts w:ascii="Times New Roman" w:hAnsi="Times New Roman" w:cs="Times New Roman"/>
        </w:rPr>
        <w:t xml:space="preserve">and a separate lateral cluster </w:t>
      </w:r>
      <w:r w:rsidR="000F27E5" w:rsidRPr="006C3369">
        <w:rPr>
          <w:rFonts w:ascii="Times New Roman" w:hAnsi="Times New Roman" w:cs="Times New Roman"/>
        </w:rPr>
        <w:t>(</w:t>
      </w:r>
      <w:r w:rsidR="000F27E5">
        <w:rPr>
          <w:rFonts w:ascii="Times New Roman" w:hAnsi="Times New Roman" w:cs="Times New Roman"/>
        </w:rPr>
        <w:t>rows A and B,</w:t>
      </w:r>
      <w:r w:rsidR="00411465">
        <w:rPr>
          <w:rFonts w:ascii="Times New Roman" w:hAnsi="Times New Roman" w:cs="Times New Roman"/>
        </w:rPr>
        <w:t xml:space="preserve"> F</w:t>
      </w:r>
      <w:r w:rsidR="000F27E5" w:rsidRPr="006C3369">
        <w:rPr>
          <w:rFonts w:ascii="Times New Roman" w:hAnsi="Times New Roman" w:cs="Times New Roman"/>
        </w:rPr>
        <w:t xml:space="preserve">igure </w:t>
      </w:r>
      <w:r w:rsidR="00411465">
        <w:rPr>
          <w:rFonts w:ascii="Times New Roman" w:hAnsi="Times New Roman" w:cs="Times New Roman"/>
        </w:rPr>
        <w:t>S2</w:t>
      </w:r>
      <w:r w:rsidR="000F27E5">
        <w:rPr>
          <w:rFonts w:ascii="Times New Roman" w:hAnsi="Times New Roman" w:cs="Times New Roman"/>
        </w:rPr>
        <w:t>, respectively</w:t>
      </w:r>
      <w:r w:rsidR="000F27E5" w:rsidRPr="006C3369">
        <w:rPr>
          <w:rFonts w:ascii="Times New Roman" w:hAnsi="Times New Roman" w:cs="Times New Roman"/>
        </w:rPr>
        <w:t>)</w:t>
      </w:r>
      <w:r w:rsidR="000F27E5">
        <w:rPr>
          <w:rFonts w:ascii="Times New Roman" w:hAnsi="Times New Roman" w:cs="Times New Roman"/>
        </w:rPr>
        <w:t>; the entropy-beta band differences are clustered to a</w:t>
      </w:r>
      <w:r w:rsidR="00411465">
        <w:rPr>
          <w:rFonts w:ascii="Times New Roman" w:hAnsi="Times New Roman" w:cs="Times New Roman"/>
        </w:rPr>
        <w:t xml:space="preserve"> smaller extent (row C, Figure 2</w:t>
      </w:r>
      <w:r w:rsidR="000F27E5">
        <w:rPr>
          <w:rFonts w:ascii="Times New Roman" w:hAnsi="Times New Roman" w:cs="Times New Roman"/>
        </w:rPr>
        <w:t>). Similar observations hold for the perplexity contrast (Figure 2).</w:t>
      </w:r>
    </w:p>
    <w:p w:rsidR="00D27155" w:rsidRDefault="000F27E5" w:rsidP="00D4665C">
      <w:pPr>
        <w:spacing w:line="360" w:lineRule="auto"/>
        <w:rPr>
          <w:rFonts w:ascii="Times New Roman" w:hAnsi="Times New Roman" w:cs="Times New Roman"/>
        </w:rPr>
      </w:pPr>
      <w:r>
        <w:rPr>
          <w:rFonts w:ascii="Times New Roman" w:hAnsi="Times New Roman" w:cs="Times New Roman"/>
        </w:rPr>
        <w:t xml:space="preserve">The overall contrasts (perplexity, entropy) in this pipeline </w:t>
      </w:r>
      <w:proofErr w:type="gramStart"/>
      <w:r>
        <w:rPr>
          <w:rFonts w:ascii="Times New Roman" w:hAnsi="Times New Roman" w:cs="Times New Roman"/>
        </w:rPr>
        <w:t>are not conservatively controlled</w:t>
      </w:r>
      <w:proofErr w:type="gramEnd"/>
      <w:r>
        <w:rPr>
          <w:rFonts w:ascii="Times New Roman" w:hAnsi="Times New Roman" w:cs="Times New Roman"/>
        </w:rPr>
        <w:t xml:space="preserve"> for the family-wise error rate at the desired alpha-level of 0.05.</w:t>
      </w:r>
    </w:p>
    <w:p w:rsidR="00D4665C" w:rsidRDefault="00D4665C" w:rsidP="00D4665C">
      <w:pPr>
        <w:spacing w:line="360" w:lineRule="auto"/>
        <w:rPr>
          <w:rFonts w:ascii="Times New Roman" w:hAnsi="Times New Roman" w:cs="Times New Roman"/>
        </w:rPr>
      </w:pPr>
    </w:p>
    <w:p w:rsidR="00D27155" w:rsidRDefault="00D27155" w:rsidP="00D27155">
      <w:pPr>
        <w:pStyle w:val="PlainText"/>
        <w:keepNext/>
        <w:spacing w:line="360" w:lineRule="auto"/>
      </w:pPr>
      <w:r>
        <w:rPr>
          <w:rFonts w:ascii="Times New Roman" w:hAnsi="Times New Roman" w:cs="Times New Roman"/>
          <w:noProof/>
        </w:rPr>
        <w:lastRenderedPageBreak/>
        <w:drawing>
          <wp:inline distT="0" distB="0" distL="0" distR="0">
            <wp:extent cx="5972810" cy="13766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perplexity_epoch-locke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2810" cy="1376680"/>
                    </a:xfrm>
                    <a:prstGeom prst="rect">
                      <a:avLst/>
                    </a:prstGeom>
                  </pic:spPr>
                </pic:pic>
              </a:graphicData>
            </a:graphic>
          </wp:inline>
        </w:drawing>
      </w:r>
    </w:p>
    <w:p w:rsidR="00D27155" w:rsidRDefault="00D27155" w:rsidP="00D27155">
      <w:pPr>
        <w:pStyle w:val="Caption"/>
        <w:rPr>
          <w:rFonts w:ascii="Times New Roman" w:hAnsi="Times New Roman" w:cs="Times New Roman"/>
        </w:rPr>
      </w:pPr>
      <w:r>
        <w:t>Figure S</w:t>
      </w:r>
      <w:r w:rsidR="001A5F21">
        <w:fldChar w:fldCharType="begin"/>
      </w:r>
      <w:r w:rsidR="001A5F21">
        <w:instrText xml:space="preserve"> SEQ Figure \* ARABIC </w:instrText>
      </w:r>
      <w:r w:rsidR="001A5F21">
        <w:fldChar w:fldCharType="separate"/>
      </w:r>
      <w:r>
        <w:rPr>
          <w:noProof/>
        </w:rPr>
        <w:t>1</w:t>
      </w:r>
      <w:r w:rsidR="001A5F21">
        <w:rPr>
          <w:noProof/>
        </w:rPr>
        <w:fldChar w:fldCharType="end"/>
      </w:r>
      <w:r>
        <w:t xml:space="preserve"> </w:t>
      </w:r>
      <w:r w:rsidRPr="001B4AF4">
        <w:rPr>
          <w:rFonts w:ascii="Times New Roman" w:hAnsi="Times New Roman" w:cs="Times New Roman"/>
        </w:rPr>
        <w:t>Group level t-maps for low beta (11--21 Hz, row A) and high beta band (21--31 Hz, row B) power quantifying differences between high and low perplexity bins. Source maps show paired-samples t-statistic per source location and time lag</w:t>
      </w:r>
      <w:r>
        <w:rPr>
          <w:rFonts w:ascii="Times New Roman" w:hAnsi="Times New Roman" w:cs="Times New Roman"/>
        </w:rPr>
        <w:t xml:space="preserve"> (0, 200, 400, and 600 </w:t>
      </w:r>
      <w:proofErr w:type="spellStart"/>
      <w:r>
        <w:rPr>
          <w:rFonts w:ascii="Times New Roman" w:hAnsi="Times New Roman" w:cs="Times New Roman"/>
        </w:rPr>
        <w:t>msec</w:t>
      </w:r>
      <w:proofErr w:type="spellEnd"/>
      <w:r>
        <w:rPr>
          <w:rFonts w:ascii="Times New Roman" w:hAnsi="Times New Roman" w:cs="Times New Roman"/>
        </w:rPr>
        <w:t>)</w:t>
      </w:r>
      <w:r w:rsidRPr="001B4AF4">
        <w:rPr>
          <w:rFonts w:ascii="Times New Roman" w:hAnsi="Times New Roman" w:cs="Times New Roman"/>
        </w:rPr>
        <w:t>. For the purposes of visualization, displayed are only t-statistics for source locations belonging to the cluster with the highest negative cluster statistic, that is, source locations not belonging to the maximal clusters the cluster are set</w:t>
      </w:r>
      <w:r>
        <w:rPr>
          <w:rFonts w:ascii="Times New Roman" w:hAnsi="Times New Roman" w:cs="Times New Roman"/>
        </w:rPr>
        <w:t xml:space="preserve"> to a value of zero.</w:t>
      </w:r>
    </w:p>
    <w:p w:rsidR="00D27155" w:rsidRPr="00D27155" w:rsidRDefault="00D27155" w:rsidP="00D27155"/>
    <w:p w:rsidR="00D27155" w:rsidRDefault="00D27155" w:rsidP="00D27155">
      <w:pPr>
        <w:pStyle w:val="PlainText"/>
        <w:keepNext/>
        <w:spacing w:line="360" w:lineRule="auto"/>
      </w:pPr>
      <w:r>
        <w:rPr>
          <w:rFonts w:ascii="Times New Roman" w:hAnsi="Times New Roman" w:cs="Times New Roman"/>
          <w:noProof/>
        </w:rPr>
        <w:drawing>
          <wp:inline distT="0" distB="0" distL="0" distR="0">
            <wp:extent cx="5972810" cy="19824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entropy_epoch-lock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810" cy="1982470"/>
                    </a:xfrm>
                    <a:prstGeom prst="rect">
                      <a:avLst/>
                    </a:prstGeom>
                  </pic:spPr>
                </pic:pic>
              </a:graphicData>
            </a:graphic>
          </wp:inline>
        </w:drawing>
      </w:r>
    </w:p>
    <w:p w:rsidR="00D27155" w:rsidRPr="006C3369" w:rsidRDefault="00D27155" w:rsidP="00D27155">
      <w:pPr>
        <w:pStyle w:val="Caption"/>
        <w:rPr>
          <w:rFonts w:ascii="Times New Roman" w:hAnsi="Times New Roman" w:cs="Times New Roman"/>
        </w:rPr>
      </w:pPr>
      <w:r>
        <w:t>Figure S</w:t>
      </w:r>
      <w:r w:rsidR="001A5F21">
        <w:fldChar w:fldCharType="begin"/>
      </w:r>
      <w:r w:rsidR="001A5F21">
        <w:instrText xml:space="preserve"> SEQ Figure \* ARABIC </w:instrText>
      </w:r>
      <w:r w:rsidR="001A5F21">
        <w:fldChar w:fldCharType="separate"/>
      </w:r>
      <w:r>
        <w:rPr>
          <w:noProof/>
        </w:rPr>
        <w:t>2</w:t>
      </w:r>
      <w:r w:rsidR="001A5F21">
        <w:rPr>
          <w:noProof/>
        </w:rPr>
        <w:fldChar w:fldCharType="end"/>
      </w:r>
      <w:r w:rsidRPr="00D27155">
        <w:rPr>
          <w:rFonts w:ascii="Times New Roman" w:hAnsi="Times New Roman" w:cs="Times New Roman"/>
        </w:rPr>
        <w:t xml:space="preserve"> </w:t>
      </w:r>
      <w:r w:rsidRPr="006902C7">
        <w:rPr>
          <w:rFonts w:ascii="Times New Roman" w:hAnsi="Times New Roman" w:cs="Times New Roman"/>
        </w:rPr>
        <w:t xml:space="preserve">Frequency-specific power differences between conditions visualized here as group-level </w:t>
      </w:r>
      <w:r>
        <w:rPr>
          <w:rFonts w:ascii="Times New Roman" w:hAnsi="Times New Roman" w:cs="Times New Roman"/>
        </w:rPr>
        <w:t>t</w:t>
      </w:r>
      <w:r w:rsidRPr="006902C7">
        <w:rPr>
          <w:rFonts w:ascii="Times New Roman" w:hAnsi="Times New Roman" w:cs="Times New Roman"/>
        </w:rPr>
        <w:t xml:space="preserve">-maps for theta-band (4--8 Hz, </w:t>
      </w:r>
      <w:r>
        <w:rPr>
          <w:rFonts w:ascii="Times New Roman" w:hAnsi="Times New Roman" w:cs="Times New Roman"/>
        </w:rPr>
        <w:t>rows A and B</w:t>
      </w:r>
      <w:r w:rsidRPr="006902C7">
        <w:rPr>
          <w:rFonts w:ascii="Times New Roman" w:hAnsi="Times New Roman" w:cs="Times New Roman"/>
        </w:rPr>
        <w:t xml:space="preserve">) and lower beta-band (11--21 Hz, </w:t>
      </w:r>
      <w:r>
        <w:rPr>
          <w:rFonts w:ascii="Times New Roman" w:hAnsi="Times New Roman" w:cs="Times New Roman"/>
        </w:rPr>
        <w:t>row C</w:t>
      </w:r>
      <w:r w:rsidRPr="006902C7">
        <w:rPr>
          <w:rFonts w:ascii="Times New Roman" w:hAnsi="Times New Roman" w:cs="Times New Roman"/>
        </w:rPr>
        <w:t xml:space="preserve">) power quantifying differences between high and low entropy bins. Source maps show paired-samples </w:t>
      </w:r>
      <w:r>
        <w:rPr>
          <w:rFonts w:ascii="Times New Roman" w:hAnsi="Times New Roman" w:cs="Times New Roman"/>
        </w:rPr>
        <w:t>t</w:t>
      </w:r>
      <w:r w:rsidRPr="006902C7">
        <w:rPr>
          <w:rFonts w:ascii="Times New Roman" w:hAnsi="Times New Roman" w:cs="Times New Roman"/>
        </w:rPr>
        <w:t>-statistic p</w:t>
      </w:r>
      <w:r>
        <w:rPr>
          <w:rFonts w:ascii="Times New Roman" w:hAnsi="Times New Roman" w:cs="Times New Roman"/>
        </w:rPr>
        <w:t xml:space="preserve">er source location and time lag (0, 200, 400, and 600 </w:t>
      </w:r>
      <w:proofErr w:type="spellStart"/>
      <w:r>
        <w:rPr>
          <w:rFonts w:ascii="Times New Roman" w:hAnsi="Times New Roman" w:cs="Times New Roman"/>
        </w:rPr>
        <w:t>msec</w:t>
      </w:r>
      <w:proofErr w:type="spellEnd"/>
      <w:r>
        <w:rPr>
          <w:rFonts w:ascii="Times New Roman" w:hAnsi="Times New Roman" w:cs="Times New Roman"/>
        </w:rPr>
        <w:t xml:space="preserve">). We show the first two highest positive clusters and the highest negative cluster for theta and beta bands, respectively. </w:t>
      </w:r>
      <w:r w:rsidRPr="006902C7">
        <w:rPr>
          <w:rFonts w:ascii="Times New Roman" w:hAnsi="Times New Roman" w:cs="Times New Roman"/>
        </w:rPr>
        <w:t xml:space="preserve">For the purposes of visualization, displayed are only </w:t>
      </w:r>
      <w:r>
        <w:rPr>
          <w:rFonts w:ascii="Times New Roman" w:hAnsi="Times New Roman" w:cs="Times New Roman"/>
        </w:rPr>
        <w:t>t</w:t>
      </w:r>
      <w:r w:rsidRPr="006902C7">
        <w:rPr>
          <w:rFonts w:ascii="Times New Roman" w:hAnsi="Times New Roman" w:cs="Times New Roman"/>
        </w:rPr>
        <w:t>-statistics for source locations belonging to the cluster with the highest cluster statistic, that is, source locations not belonging to the maximal clusters the clus</w:t>
      </w:r>
      <w:r>
        <w:rPr>
          <w:rFonts w:ascii="Times New Roman" w:hAnsi="Times New Roman" w:cs="Times New Roman"/>
        </w:rPr>
        <w:t>ter are set to a value of zero.</w:t>
      </w:r>
    </w:p>
    <w:p w:rsidR="001602EC" w:rsidRDefault="001A5F21"/>
    <w:p w:rsidR="000F27E5" w:rsidRDefault="000F27E5"/>
    <w:sectPr w:rsidR="000F27E5">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155"/>
    <w:rsid w:val="000E6922"/>
    <w:rsid w:val="000F27E5"/>
    <w:rsid w:val="0013643A"/>
    <w:rsid w:val="001A5F21"/>
    <w:rsid w:val="003240ED"/>
    <w:rsid w:val="00411465"/>
    <w:rsid w:val="006070E5"/>
    <w:rsid w:val="00715DF0"/>
    <w:rsid w:val="009E20E0"/>
    <w:rsid w:val="00D27155"/>
    <w:rsid w:val="00D4665C"/>
    <w:rsid w:val="00D63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766E84-BE65-4662-95E5-0553F81C7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2715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27155"/>
    <w:rPr>
      <w:rFonts w:ascii="Calibri" w:hAnsi="Calibri"/>
      <w:szCs w:val="21"/>
    </w:rPr>
  </w:style>
  <w:style w:type="paragraph" w:styleId="Caption">
    <w:name w:val="caption"/>
    <w:basedOn w:val="Normal"/>
    <w:next w:val="Normal"/>
    <w:uiPriority w:val="35"/>
    <w:unhideWhenUsed/>
    <w:qFormat/>
    <w:rsid w:val="00D2715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Donders Institute</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Kristijan Armeni</dc:creator>
  <cp:keywords/>
  <dc:description/>
  <cp:lastModifiedBy>Meggie Uijen</cp:lastModifiedBy>
  <cp:revision>2</cp:revision>
  <dcterms:created xsi:type="dcterms:W3CDTF">2019-09-05T06:58:00Z</dcterms:created>
  <dcterms:modified xsi:type="dcterms:W3CDTF">2019-09-05T06:58:00Z</dcterms:modified>
</cp:coreProperties>
</file>